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C9" w:rsidRDefault="006269C9" w:rsidP="006269C9">
      <w:pPr>
        <w:spacing w:after="360" w:line="240" w:lineRule="auto"/>
        <w:jc w:val="center"/>
        <w:rPr>
          <w:rFonts w:ascii="Arial" w:hAnsi="Arial" w:cs="Arial"/>
        </w:rPr>
      </w:pPr>
      <w:r w:rsidRPr="00D2567A">
        <w:rPr>
          <w:rFonts w:ascii="Arial" w:hAnsi="Arial" w:cs="Arial"/>
        </w:rPr>
        <w:t xml:space="preserve">Cuestionario </w:t>
      </w:r>
      <w:r w:rsidR="004016FA">
        <w:rPr>
          <w:rFonts w:ascii="Arial" w:hAnsi="Arial" w:cs="Arial"/>
        </w:rPr>
        <w:t>básico</w:t>
      </w:r>
      <w:r w:rsidR="00D16B5A">
        <w:rPr>
          <w:rFonts w:ascii="Arial" w:hAnsi="Arial" w:cs="Arial"/>
        </w:rPr>
        <w:t xml:space="preserve"> municipal</w:t>
      </w:r>
      <w:bookmarkStart w:id="0" w:name="_GoBack"/>
      <w:bookmarkEnd w:id="0"/>
      <w:r w:rsidR="004016FA">
        <w:rPr>
          <w:rFonts w:ascii="Arial" w:hAnsi="Arial" w:cs="Arial"/>
        </w:rPr>
        <w:t xml:space="preserve"> </w:t>
      </w:r>
      <w:r w:rsidRPr="00D2567A">
        <w:rPr>
          <w:rFonts w:ascii="Arial" w:hAnsi="Arial" w:cs="Arial"/>
        </w:rPr>
        <w:t>sobre la implementación y operación del Presupuesto basado en Resultados (</w:t>
      </w:r>
      <w:proofErr w:type="spellStart"/>
      <w:r w:rsidRPr="00D2567A">
        <w:rPr>
          <w:rFonts w:ascii="Arial" w:hAnsi="Arial" w:cs="Arial"/>
        </w:rPr>
        <w:t>PbR</w:t>
      </w:r>
      <w:proofErr w:type="spellEnd"/>
      <w:r w:rsidRPr="00D2567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-</w:t>
      </w:r>
      <w:r w:rsidRPr="00D2567A">
        <w:rPr>
          <w:rFonts w:ascii="Arial" w:hAnsi="Arial" w:cs="Arial"/>
        </w:rPr>
        <w:t xml:space="preserve"> Sistema de Evaluación del Desempeño (SED)</w:t>
      </w:r>
      <w:r>
        <w:rPr>
          <w:rFonts w:ascii="Arial" w:hAnsi="Arial" w:cs="Arial"/>
        </w:rPr>
        <w:t>.</w:t>
      </w:r>
    </w:p>
    <w:tbl>
      <w:tblPr>
        <w:tblW w:w="1008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108"/>
      </w:tblGrid>
      <w:tr w:rsidR="00175695" w:rsidRPr="00D2567A" w:rsidTr="00DD6779">
        <w:trPr>
          <w:trHeight w:val="337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175695" w:rsidRPr="00D2567A" w:rsidRDefault="00175695" w:rsidP="00623CA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2567A">
              <w:rPr>
                <w:rFonts w:ascii="Arial" w:hAnsi="Arial" w:cs="Arial"/>
                <w:bCs/>
              </w:rPr>
              <w:t>Fecha:</w:t>
            </w:r>
          </w:p>
        </w:tc>
        <w:tc>
          <w:tcPr>
            <w:tcW w:w="71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175695" w:rsidRPr="00D2567A" w:rsidRDefault="00175695" w:rsidP="00623CA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34B35" w:rsidRPr="00D2567A" w:rsidTr="00DD6779">
        <w:trPr>
          <w:trHeight w:val="337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734B35" w:rsidRPr="00D2567A" w:rsidRDefault="00DD6779" w:rsidP="00734B3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Municipio </w:t>
            </w:r>
            <w:r w:rsidR="00734B35">
              <w:rPr>
                <w:rFonts w:ascii="Arial" w:hAnsi="Arial" w:cs="Arial"/>
                <w:bCs/>
              </w:rPr>
              <w:t>que responde el cuestionario</w:t>
            </w:r>
            <w:r w:rsidR="00734B35" w:rsidRPr="00D2567A">
              <w:rPr>
                <w:rFonts w:ascii="Arial" w:hAnsi="Arial" w:cs="Arial"/>
                <w:bCs/>
              </w:rPr>
              <w:t>: </w:t>
            </w:r>
          </w:p>
        </w:tc>
        <w:tc>
          <w:tcPr>
            <w:tcW w:w="71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734B35" w:rsidRPr="00D2567A" w:rsidRDefault="00734B35" w:rsidP="00734B3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23CA1" w:rsidRPr="00D2567A" w:rsidTr="00DD6779">
        <w:trPr>
          <w:trHeight w:val="337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23CA1" w:rsidRPr="00D2567A" w:rsidRDefault="00175695" w:rsidP="001756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2567A">
              <w:rPr>
                <w:rFonts w:ascii="Arial" w:hAnsi="Arial" w:cs="Arial"/>
                <w:bCs/>
              </w:rPr>
              <w:t>Nombre del responsable de responder el cuestionario:</w:t>
            </w:r>
          </w:p>
        </w:tc>
        <w:tc>
          <w:tcPr>
            <w:tcW w:w="71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23CA1" w:rsidRPr="00D2567A" w:rsidRDefault="00623CA1" w:rsidP="00623CA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23CA1" w:rsidRPr="00D2567A" w:rsidTr="00DD6779">
        <w:trPr>
          <w:trHeight w:val="337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23CA1" w:rsidRPr="00D2567A" w:rsidRDefault="00175695" w:rsidP="00623CA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2567A">
              <w:rPr>
                <w:rFonts w:ascii="Arial" w:hAnsi="Arial" w:cs="Arial"/>
                <w:bCs/>
              </w:rPr>
              <w:t>Puesto</w:t>
            </w:r>
            <w:r w:rsidR="00623CA1" w:rsidRPr="00D2567A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1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623CA1" w:rsidRPr="00D2567A" w:rsidRDefault="00623CA1" w:rsidP="00623CA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6269C9" w:rsidRDefault="006269C9" w:rsidP="006269C9">
      <w:pPr>
        <w:spacing w:before="36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Instrucciones:</w:t>
      </w:r>
    </w:p>
    <w:p w:rsidR="00BD54F8" w:rsidRDefault="00BD54F8" w:rsidP="006269C9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cuestionario es aplicable a la Administración Pública </w:t>
      </w:r>
      <w:r w:rsidR="00734B35">
        <w:rPr>
          <w:rFonts w:ascii="Arial" w:hAnsi="Arial" w:cs="Arial"/>
        </w:rPr>
        <w:t>Municipal</w:t>
      </w:r>
      <w:r>
        <w:rPr>
          <w:rFonts w:ascii="Arial" w:hAnsi="Arial" w:cs="Arial"/>
        </w:rPr>
        <w:t>.</w:t>
      </w:r>
    </w:p>
    <w:p w:rsidR="006269C9" w:rsidRDefault="006269C9" w:rsidP="006269C9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Indicar con una letra “X”</w:t>
      </w:r>
      <w:r w:rsidR="00D465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016FA">
        <w:rPr>
          <w:rFonts w:ascii="Arial" w:hAnsi="Arial" w:cs="Arial"/>
        </w:rPr>
        <w:t xml:space="preserve">en los espacios ubicados a la derecha de cada pregunta, </w:t>
      </w:r>
      <w:r>
        <w:rPr>
          <w:rFonts w:ascii="Arial" w:hAnsi="Arial" w:cs="Arial"/>
        </w:rPr>
        <w:t>si la respuesta es positiva o negativa.</w:t>
      </w:r>
    </w:p>
    <w:p w:rsidR="004016FA" w:rsidRDefault="00702B33" w:rsidP="004016FA">
      <w:pPr>
        <w:spacing w:before="120" w:after="120" w:line="240" w:lineRule="auto"/>
        <w:jc w:val="both"/>
        <w:rPr>
          <w:rFonts w:ascii="Arial" w:hAnsi="Arial" w:cs="Arial"/>
        </w:rPr>
      </w:pPr>
      <w:r w:rsidRPr="0096273A">
        <w:rPr>
          <w:rFonts w:ascii="Arial" w:hAnsi="Arial" w:cs="Arial"/>
        </w:rPr>
        <w:t>Importante</w:t>
      </w:r>
      <w:r w:rsidR="004016FA">
        <w:rPr>
          <w:rFonts w:ascii="Arial" w:hAnsi="Arial" w:cs="Arial"/>
        </w:rPr>
        <w:t>.</w:t>
      </w:r>
      <w:r w:rsidRPr="0096273A">
        <w:rPr>
          <w:rFonts w:ascii="Arial" w:hAnsi="Arial" w:cs="Arial"/>
        </w:rPr>
        <w:t xml:space="preserve"> </w:t>
      </w:r>
      <w:r w:rsidR="00240E79">
        <w:rPr>
          <w:rFonts w:ascii="Arial" w:hAnsi="Arial" w:cs="Arial"/>
        </w:rPr>
        <w:t>Para responder a este cuestionario, en lo subsecuente</w:t>
      </w:r>
      <w:r w:rsidR="004016FA">
        <w:rPr>
          <w:rFonts w:ascii="Arial" w:hAnsi="Arial" w:cs="Arial"/>
        </w:rPr>
        <w:t>:</w:t>
      </w:r>
    </w:p>
    <w:p w:rsidR="004016FA" w:rsidRPr="00D427DD" w:rsidRDefault="004016FA" w:rsidP="003A1176">
      <w:pPr>
        <w:pStyle w:val="Prrafodelista"/>
        <w:numPr>
          <w:ilvl w:val="0"/>
          <w:numId w:val="9"/>
        </w:numPr>
        <w:spacing w:before="120" w:after="360" w:line="240" w:lineRule="auto"/>
        <w:ind w:left="426" w:hanging="284"/>
        <w:jc w:val="both"/>
        <w:rPr>
          <w:rFonts w:ascii="Arial" w:hAnsi="Arial" w:cs="Arial"/>
        </w:rPr>
      </w:pPr>
      <w:r w:rsidRPr="00D427DD">
        <w:rPr>
          <w:rFonts w:ascii="Arial" w:hAnsi="Arial" w:cs="Arial"/>
        </w:rPr>
        <w:t xml:space="preserve">El </w:t>
      </w:r>
      <w:r w:rsidR="00F2064C" w:rsidRPr="00D427DD">
        <w:rPr>
          <w:rFonts w:ascii="Arial" w:hAnsi="Arial" w:cs="Arial"/>
        </w:rPr>
        <w:t xml:space="preserve">término </w:t>
      </w:r>
      <w:r w:rsidR="006269C9" w:rsidRPr="00D427DD">
        <w:rPr>
          <w:rFonts w:ascii="Arial" w:hAnsi="Arial" w:cs="Arial"/>
        </w:rPr>
        <w:t>“</w:t>
      </w:r>
      <w:r w:rsidR="00F2064C" w:rsidRPr="00D427DD">
        <w:rPr>
          <w:rFonts w:ascii="Arial" w:hAnsi="Arial" w:cs="Arial"/>
        </w:rPr>
        <w:t>programa presupuestario</w:t>
      </w:r>
      <w:r w:rsidR="006269C9" w:rsidRPr="00D427DD">
        <w:rPr>
          <w:rFonts w:ascii="Arial" w:hAnsi="Arial" w:cs="Arial"/>
        </w:rPr>
        <w:t>”</w:t>
      </w:r>
      <w:r w:rsidR="00F2064C" w:rsidRPr="00D427DD">
        <w:rPr>
          <w:rFonts w:ascii="Arial" w:hAnsi="Arial" w:cs="Arial"/>
        </w:rPr>
        <w:t xml:space="preserve"> se refiere </w:t>
      </w:r>
      <w:r w:rsidR="00240E79" w:rsidRPr="00D427DD">
        <w:rPr>
          <w:rFonts w:ascii="Arial" w:hAnsi="Arial" w:cs="Arial"/>
        </w:rPr>
        <w:t xml:space="preserve">exclusivamente </w:t>
      </w:r>
      <w:r w:rsidR="00F2064C" w:rsidRPr="00D427DD">
        <w:rPr>
          <w:rFonts w:ascii="Arial" w:hAnsi="Arial" w:cs="Arial"/>
        </w:rPr>
        <w:t>a</w:t>
      </w:r>
      <w:r w:rsidR="00734B35" w:rsidRPr="00D427DD">
        <w:rPr>
          <w:rFonts w:ascii="Arial" w:hAnsi="Arial" w:cs="Arial"/>
        </w:rPr>
        <w:t xml:space="preserve"> los </w:t>
      </w:r>
      <w:r w:rsidR="00FD1ACF" w:rsidRPr="00D427DD">
        <w:rPr>
          <w:rFonts w:ascii="Arial" w:hAnsi="Arial" w:cs="Arial"/>
        </w:rPr>
        <w:t xml:space="preserve">programas </w:t>
      </w:r>
      <w:r w:rsidR="006269C9" w:rsidRPr="00D427DD">
        <w:rPr>
          <w:rFonts w:ascii="Arial" w:hAnsi="Arial" w:cs="Arial"/>
        </w:rPr>
        <w:t xml:space="preserve">para los cuales se aprobaron recursos mediante </w:t>
      </w:r>
      <w:r w:rsidR="00734B35" w:rsidRPr="00D427DD">
        <w:rPr>
          <w:rFonts w:ascii="Arial" w:hAnsi="Arial" w:cs="Arial"/>
        </w:rPr>
        <w:t xml:space="preserve">el </w:t>
      </w:r>
      <w:r w:rsidR="006269C9" w:rsidRPr="00D427DD">
        <w:rPr>
          <w:rFonts w:ascii="Arial" w:hAnsi="Arial" w:cs="Arial"/>
        </w:rPr>
        <w:t xml:space="preserve">Presupuesto de Egresos para el Ejercicio Fiscal 2019 y </w:t>
      </w:r>
      <w:r w:rsidR="00DD04CD" w:rsidRPr="00D427DD">
        <w:rPr>
          <w:rFonts w:ascii="Arial" w:hAnsi="Arial" w:cs="Arial"/>
        </w:rPr>
        <w:t xml:space="preserve">de cuya ejecución es responsable </w:t>
      </w:r>
      <w:r w:rsidR="00734B35" w:rsidRPr="00D427DD">
        <w:rPr>
          <w:rFonts w:ascii="Arial" w:hAnsi="Arial" w:cs="Arial"/>
        </w:rPr>
        <w:t>el municipio</w:t>
      </w:r>
      <w:r w:rsidR="00DD04CD" w:rsidRPr="00D427DD">
        <w:rPr>
          <w:rFonts w:ascii="Arial" w:hAnsi="Arial" w:cs="Arial"/>
        </w:rPr>
        <w:t>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650"/>
        <w:gridCol w:w="709"/>
        <w:gridCol w:w="714"/>
      </w:tblGrid>
      <w:tr w:rsidR="00EC1BD8" w:rsidRPr="00D2567A" w:rsidTr="006A0630">
        <w:trPr>
          <w:trHeight w:val="425"/>
          <w:tblHeader/>
          <w:jc w:val="center"/>
        </w:trPr>
        <w:tc>
          <w:tcPr>
            <w:tcW w:w="9923" w:type="dxa"/>
            <w:gridSpan w:val="4"/>
            <w:shd w:val="clear" w:color="auto" w:fill="000000" w:themeFill="text1"/>
            <w:noWrap/>
            <w:vAlign w:val="center"/>
          </w:tcPr>
          <w:p w:rsidR="00EC1BD8" w:rsidRPr="00BD54F8" w:rsidRDefault="00EC1BD8" w:rsidP="001A1B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 w:themeColor="background1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FFFFFF" w:themeColor="background1"/>
                <w:lang w:eastAsia="es-MX"/>
              </w:rPr>
              <w:t>Pregunta</w:t>
            </w:r>
          </w:p>
        </w:tc>
      </w:tr>
      <w:tr w:rsidR="00E271F0" w:rsidRPr="00D2567A" w:rsidTr="003453C4">
        <w:trPr>
          <w:trHeight w:val="553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E271F0" w:rsidRPr="00BD54F8" w:rsidRDefault="00E271F0" w:rsidP="00D4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53C4">
              <w:rPr>
                <w:rFonts w:ascii="Arial" w:eastAsia="Times New Roman" w:hAnsi="Arial" w:cs="Arial"/>
                <w:color w:val="000000"/>
                <w:lang w:eastAsia="es-MX"/>
              </w:rPr>
              <w:t xml:space="preserve">¿El Presupuesto de Egresos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para el Ejercicio Fiscal 2019 del municipio, contiene el listado de programas </w:t>
            </w:r>
            <w:r w:rsidRPr="003453C4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presupuestarios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para los cuales se aprobaron los recursos públicos de dicho año</w:t>
            </w:r>
            <w:r w:rsidRPr="003453C4">
              <w:rPr>
                <w:rFonts w:ascii="Arial" w:eastAsia="Times New Roman" w:hAnsi="Arial" w:cs="Arial"/>
                <w:color w:val="000000"/>
                <w:lang w:eastAsia="es-MX"/>
              </w:rPr>
              <w:t>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D4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D42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E271F0" w:rsidRPr="00D2567A" w:rsidTr="006E7141">
        <w:trPr>
          <w:trHeight w:val="277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E271F0" w:rsidRPr="00BD54F8" w:rsidRDefault="00E271F0" w:rsidP="00702B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E271F0" w:rsidRPr="00BD54F8" w:rsidRDefault="00E271F0" w:rsidP="004016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EC1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EC1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271F0" w:rsidRPr="00D2567A" w:rsidTr="00734B35">
        <w:trPr>
          <w:trHeight w:val="613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="00E271F0" w:rsidRPr="00BD54F8" w:rsidRDefault="00E271F0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271F0" w:rsidRPr="00D2567A" w:rsidTr="006E7141">
        <w:trPr>
          <w:trHeight w:val="503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E271F0" w:rsidRPr="00BD54F8" w:rsidRDefault="00E271F0" w:rsidP="00E27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</w:tcPr>
          <w:p w:rsidR="00E271F0" w:rsidRPr="00BD54F8" w:rsidRDefault="00E271F0" w:rsidP="00E271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453C4">
              <w:rPr>
                <w:rFonts w:ascii="Arial" w:eastAsia="Times New Roman" w:hAnsi="Arial" w:cs="Arial"/>
                <w:color w:val="000000"/>
                <w:lang w:eastAsia="es-MX"/>
              </w:rPr>
              <w:t xml:space="preserve">¿El Presupuesto de Egresos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para el Ejercicio Fiscal 2019 del municipio, contiene los proyectos para los cuales se aprobaron </w:t>
            </w:r>
            <w:r w:rsidR="006E7141"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recursos públicos de dicho año</w:t>
            </w:r>
            <w:r w:rsidRPr="003453C4">
              <w:rPr>
                <w:rFonts w:ascii="Arial" w:eastAsia="Times New Roman" w:hAnsi="Arial" w:cs="Arial"/>
                <w:color w:val="000000"/>
                <w:lang w:eastAsia="es-MX"/>
              </w:rPr>
              <w:t>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E27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E271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E271F0" w:rsidRPr="00D2567A" w:rsidTr="006E7141">
        <w:trPr>
          <w:trHeight w:val="411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E271F0" w:rsidRPr="00BD54F8" w:rsidRDefault="00E271F0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271F0" w:rsidRPr="00D2567A" w:rsidTr="00734B35">
        <w:trPr>
          <w:trHeight w:val="613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:rsidR="00E271F0" w:rsidRPr="00BD54F8" w:rsidRDefault="006E7141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E271F0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453C4" w:rsidRPr="00D2567A" w:rsidTr="006E7141">
        <w:trPr>
          <w:trHeight w:val="497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3453C4" w:rsidRPr="00BD54F8" w:rsidRDefault="00E271F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453C4" w:rsidRPr="00BD54F8" w:rsidRDefault="003453C4" w:rsidP="00E271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¿</w:t>
            </w:r>
            <w:r w:rsidR="00E271F0"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programa</w:t>
            </w:r>
            <w:r w:rsidR="00E271F0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presupuestario</w:t>
            </w:r>
            <w:r w:rsidR="00E271F0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para </w:t>
            </w:r>
            <w:r w:rsidR="00E271F0"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cuales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aprobaron recursos mediante </w:t>
            </w:r>
            <w:r w:rsidR="00E271F0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Presupuesto de Egresos para el Ejercicio Fiscal 2019</w:t>
            </w:r>
            <w:r w:rsidR="00E271F0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E271F0">
              <w:rPr>
                <w:rFonts w:ascii="Arial" w:eastAsia="Times New Roman" w:hAnsi="Arial" w:cs="Arial"/>
                <w:color w:val="000000"/>
                <w:lang w:eastAsia="es-MX"/>
              </w:rPr>
              <w:t xml:space="preserve">fueron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ejecutado</w:t>
            </w:r>
            <w:r w:rsidR="00E271F0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3453C4" w:rsidRPr="00D2567A" w:rsidTr="006E7141">
        <w:trPr>
          <w:trHeight w:val="419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453C4" w:rsidRPr="00D2567A" w:rsidTr="00870400">
        <w:trPr>
          <w:trHeight w:val="691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073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</w:tc>
      </w:tr>
      <w:tr w:rsidR="003453C4" w:rsidRPr="00D2567A" w:rsidTr="006E7141">
        <w:trPr>
          <w:trHeight w:val="569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3453C4" w:rsidRPr="00BD54F8" w:rsidRDefault="00735811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453C4" w:rsidRPr="00BD54F8" w:rsidRDefault="003453C4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¿</w:t>
            </w:r>
            <w:r w:rsidR="00E271F0"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</w:t>
            </w:r>
            <w:r w:rsidR="00E271F0" w:rsidRPr="00BD54F8">
              <w:rPr>
                <w:rFonts w:ascii="Arial" w:eastAsia="Times New Roman" w:hAnsi="Arial" w:cs="Arial"/>
                <w:color w:val="000000"/>
                <w:lang w:eastAsia="es-MX"/>
              </w:rPr>
              <w:t>programa</w:t>
            </w:r>
            <w:r w:rsidR="00E271F0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E271F0"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presupuestario</w:t>
            </w:r>
            <w:r w:rsidR="00E271F0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E271F0"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para </w:t>
            </w:r>
            <w:r w:rsidR="00E271F0"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cuales </w:t>
            </w:r>
            <w:r w:rsidR="00E271F0"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aprobaron recursos mediante </w:t>
            </w:r>
            <w:r w:rsidR="00E271F0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</w:t>
            </w:r>
            <w:r w:rsidR="00E271F0" w:rsidRPr="00BD54F8">
              <w:rPr>
                <w:rFonts w:ascii="Arial" w:eastAsia="Times New Roman" w:hAnsi="Arial" w:cs="Arial"/>
                <w:color w:val="000000"/>
                <w:lang w:eastAsia="es-MX"/>
              </w:rPr>
              <w:t>Presupuesto de Egresos para el Ejercicio Fiscal 2019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, fue</w:t>
            </w:r>
            <w:r w:rsidR="00E271F0">
              <w:rPr>
                <w:rFonts w:ascii="Arial" w:eastAsia="Times New Roman" w:hAnsi="Arial" w:cs="Arial"/>
                <w:color w:val="000000"/>
                <w:lang w:eastAsia="es-MX"/>
              </w:rPr>
              <w:t>ron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registrado</w:t>
            </w:r>
            <w:r w:rsidR="00E271F0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a través del sistema contable con el cual se integra la Cuenta Pública 2019?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3453C4" w:rsidRPr="00D2567A" w:rsidTr="001A1BF7">
        <w:trPr>
          <w:trHeight w:val="70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453C4" w:rsidRPr="00D2567A" w:rsidTr="00870400">
        <w:trPr>
          <w:trHeight w:val="706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073" w:type="dxa"/>
            <w:gridSpan w:val="3"/>
            <w:shd w:val="clear" w:color="auto" w:fill="auto"/>
            <w:vAlign w:val="center"/>
            <w:hideMark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</w:tc>
      </w:tr>
      <w:tr w:rsidR="003453C4" w:rsidRPr="00D2567A" w:rsidTr="009D6EBD">
        <w:trPr>
          <w:trHeight w:val="1269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3453C4" w:rsidRPr="00BD54F8" w:rsidRDefault="00735811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453C4" w:rsidRDefault="003453C4" w:rsidP="007358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¿</w:t>
            </w:r>
            <w:r w:rsidR="00735811">
              <w:rPr>
                <w:rFonts w:ascii="Arial" w:eastAsia="Times New Roman" w:hAnsi="Arial" w:cs="Arial"/>
                <w:color w:val="000000"/>
                <w:lang w:eastAsia="es-MX"/>
              </w:rPr>
              <w:t>El municipio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cuenta con algún sistema o instrumento que permita relacionar el avance de</w:t>
            </w:r>
            <w:r w:rsidR="0073581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 w:rsidR="00735811">
              <w:rPr>
                <w:rFonts w:ascii="Arial" w:eastAsia="Times New Roman" w:hAnsi="Arial" w:cs="Arial"/>
                <w:color w:val="000000"/>
                <w:lang w:eastAsia="es-MX"/>
              </w:rPr>
              <w:t xml:space="preserve">os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programa</w:t>
            </w:r>
            <w:r w:rsidR="00735811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presupuestario</w:t>
            </w:r>
            <w:r w:rsidR="00735811">
              <w:rPr>
                <w:rFonts w:ascii="Arial" w:eastAsia="Times New Roman" w:hAnsi="Arial" w:cs="Arial"/>
                <w:color w:val="000000"/>
                <w:lang w:eastAsia="es-MX"/>
              </w:rPr>
              <w:t xml:space="preserve">s </w:t>
            </w:r>
            <w:r w:rsidR="001A07F0">
              <w:rPr>
                <w:rFonts w:ascii="Arial" w:eastAsia="Times New Roman" w:hAnsi="Arial" w:cs="Arial"/>
                <w:color w:val="000000"/>
                <w:lang w:eastAsia="es-MX"/>
              </w:rPr>
              <w:t>(</w:t>
            </w:r>
            <w:r w:rsidR="00735811"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para </w:t>
            </w:r>
            <w:r w:rsidR="00735811"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cuales </w:t>
            </w:r>
            <w:r w:rsidR="00735811"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aprobaron recursos mediante </w:t>
            </w:r>
            <w:r w:rsidR="00735811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</w:t>
            </w:r>
            <w:r w:rsidR="00735811" w:rsidRPr="00BD54F8">
              <w:rPr>
                <w:rFonts w:ascii="Arial" w:eastAsia="Times New Roman" w:hAnsi="Arial" w:cs="Arial"/>
                <w:color w:val="000000"/>
                <w:lang w:eastAsia="es-MX"/>
              </w:rPr>
              <w:t>Presupuesto de Egresos para el Ejercicio Fiscal 2019</w:t>
            </w:r>
            <w:r w:rsidR="001A07F0">
              <w:rPr>
                <w:rFonts w:ascii="Arial" w:eastAsia="Times New Roman" w:hAnsi="Arial" w:cs="Arial"/>
                <w:color w:val="000000"/>
                <w:lang w:eastAsia="es-MX"/>
              </w:rPr>
              <w:t>)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, con el avance físico - financiero de los proyectos ejecutados durante 2019?</w:t>
            </w:r>
          </w:p>
          <w:p w:rsidR="00C12AB4" w:rsidRPr="009D6EBD" w:rsidRDefault="00F53E76" w:rsidP="00C12AB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9D6EB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Es importante mencionar que la pregunta no se refiere a las funciones que realiza el Portal Aplicativo de la Secretaría de </w:t>
            </w:r>
            <w:r w:rsidR="006B1F03" w:rsidRPr="009D6EB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Hacienda y</w:t>
            </w:r>
            <w:r w:rsidRPr="009D6EB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Crédito Público (PASH)</w:t>
            </w:r>
            <w:r w:rsidR="00C12AB4" w:rsidRPr="009D6EB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. </w:t>
            </w:r>
          </w:p>
          <w:p w:rsidR="00F53E76" w:rsidRPr="00BD54F8" w:rsidRDefault="00C12AB4" w:rsidP="00C12AB4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D6EBD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De la misma manera, no se refiere al formato de avance físico - financiero que se reporta mediante el Portal de Internet de la Secretaría de Desarrollo Social y Regional.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3453C4" w:rsidRPr="00D2567A" w:rsidTr="009D6EBD">
        <w:trPr>
          <w:trHeight w:val="113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453C4" w:rsidRPr="00D2567A" w:rsidTr="00870400">
        <w:trPr>
          <w:trHeight w:val="994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073" w:type="dxa"/>
            <w:gridSpan w:val="3"/>
            <w:shd w:val="clear" w:color="auto" w:fill="auto"/>
            <w:vAlign w:val="center"/>
          </w:tcPr>
          <w:p w:rsidR="003453C4" w:rsidRPr="00BD54F8" w:rsidRDefault="003453C4" w:rsidP="003453C4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En caso afirmativo, señale el nombre del instrumento y describa brevemente cómo se relaciona.</w:t>
            </w:r>
          </w:p>
          <w:p w:rsidR="003453C4" w:rsidRPr="00BD54F8" w:rsidRDefault="003453C4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</w:tc>
      </w:tr>
      <w:tr w:rsidR="003453C4" w:rsidRPr="00D2567A" w:rsidTr="001A1BF7">
        <w:trPr>
          <w:trHeight w:val="577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3453C4" w:rsidRPr="00BD54F8" w:rsidRDefault="007D1C30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453C4" w:rsidRPr="00BD54F8" w:rsidRDefault="003453C4" w:rsidP="009018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¿Es posible identificar </w:t>
            </w:r>
            <w:r w:rsidR="00901805">
              <w:rPr>
                <w:rFonts w:ascii="Arial" w:eastAsia="Times New Roman" w:hAnsi="Arial" w:cs="Arial"/>
                <w:color w:val="000000"/>
                <w:lang w:eastAsia="es-MX"/>
              </w:rPr>
              <w:t xml:space="preserve">a qué componente (de los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programa</w:t>
            </w:r>
            <w:r w:rsidR="00735811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presupuestario</w:t>
            </w:r>
            <w:r w:rsidR="00735811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90180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para </w:t>
            </w:r>
            <w:r w:rsidR="00901805"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cuales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se aprobaron recursos mediante el Presupuesto de Egresos para el Ejercicio Fiscal 2019</w:t>
            </w:r>
            <w:r w:rsidR="00901805">
              <w:rPr>
                <w:rFonts w:ascii="Arial" w:eastAsia="Times New Roman" w:hAnsi="Arial" w:cs="Arial"/>
                <w:color w:val="000000"/>
                <w:lang w:eastAsia="es-MX"/>
              </w:rPr>
              <w:t>)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contribuye cada una de las obras y acciones de los programas y/o proyectos de inversión ejecutados durante 2019?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3453C4" w:rsidRPr="00D2567A" w:rsidTr="00F324E6">
        <w:trPr>
          <w:trHeight w:val="614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453C4" w:rsidRPr="00D2567A" w:rsidTr="001A07F0">
        <w:trPr>
          <w:trHeight w:val="622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073" w:type="dxa"/>
            <w:gridSpan w:val="3"/>
            <w:shd w:val="clear" w:color="auto" w:fill="auto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</w:tc>
      </w:tr>
      <w:tr w:rsidR="003453C4" w:rsidRPr="00D2567A" w:rsidTr="001A1BF7">
        <w:trPr>
          <w:trHeight w:val="619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3453C4" w:rsidRPr="00BD54F8" w:rsidRDefault="00621922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453C4" w:rsidRPr="00BD54F8" w:rsidRDefault="003453C4" w:rsidP="006219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¿Los registros del avance físico y financiero del programa de obras y acciones 2019 guardan congruencia con los registros del avance en la ejecución de</w:t>
            </w:r>
            <w:r w:rsidR="00621922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 w:rsidR="00621922">
              <w:rPr>
                <w:rFonts w:ascii="Arial" w:eastAsia="Times New Roman" w:hAnsi="Arial" w:cs="Arial"/>
                <w:color w:val="000000"/>
                <w:lang w:eastAsia="es-MX"/>
              </w:rPr>
              <w:t>os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programa</w:t>
            </w:r>
            <w:r w:rsidR="00621922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presupuestario</w:t>
            </w:r>
            <w:r w:rsidR="00621922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para </w:t>
            </w:r>
            <w:r w:rsidR="00621922"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cuales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se aprobaron recursos mediante el Presupuesto de Egresos para el Ejercicio Fiscal 2019?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3453C4" w:rsidRPr="00D2567A" w:rsidTr="001A1BF7">
        <w:trPr>
          <w:trHeight w:val="619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453C4" w:rsidRPr="00D2567A" w:rsidTr="001A07F0">
        <w:trPr>
          <w:trHeight w:val="709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073" w:type="dxa"/>
            <w:gridSpan w:val="3"/>
            <w:shd w:val="clear" w:color="auto" w:fill="auto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</w:tc>
      </w:tr>
      <w:tr w:rsidR="003453C4" w:rsidRPr="00D2567A" w:rsidTr="001A1BF7">
        <w:trPr>
          <w:trHeight w:val="571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3453C4" w:rsidRPr="00BD54F8" w:rsidRDefault="00621922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453C4" w:rsidRPr="00BD54F8" w:rsidRDefault="003453C4" w:rsidP="006219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¿</w:t>
            </w:r>
            <w:r w:rsidR="00621922"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programa</w:t>
            </w:r>
            <w:r w:rsidR="00621922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presupuestario</w:t>
            </w:r>
            <w:r w:rsidR="00621922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para </w:t>
            </w:r>
            <w:r w:rsidR="00621922">
              <w:rPr>
                <w:rFonts w:ascii="Arial" w:eastAsia="Times New Roman" w:hAnsi="Arial" w:cs="Arial"/>
                <w:color w:val="000000"/>
                <w:lang w:eastAsia="es-MX"/>
              </w:rPr>
              <w:t xml:space="preserve">los cuales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aprobaron recursos mediante </w:t>
            </w:r>
            <w:r w:rsidR="00621922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Presupuesto de Egresos para el Ejercicio Fiscal 2019 fue</w:t>
            </w:r>
            <w:r w:rsidR="00621922">
              <w:rPr>
                <w:rFonts w:ascii="Arial" w:eastAsia="Times New Roman" w:hAnsi="Arial" w:cs="Arial"/>
                <w:color w:val="000000"/>
                <w:lang w:eastAsia="es-MX"/>
              </w:rPr>
              <w:t>ron</w:t>
            </w: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objeto de seguimiento y evaluación?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3453C4" w:rsidRPr="00D2567A" w:rsidTr="001A1BF7">
        <w:trPr>
          <w:trHeight w:val="571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3453C4" w:rsidRPr="00D2567A" w:rsidTr="001A07F0">
        <w:trPr>
          <w:trHeight w:val="677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073" w:type="dxa"/>
            <w:gridSpan w:val="3"/>
            <w:shd w:val="clear" w:color="auto" w:fill="auto"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</w:tc>
      </w:tr>
      <w:tr w:rsidR="003453C4" w:rsidRPr="00D2567A" w:rsidTr="001A1BF7">
        <w:trPr>
          <w:trHeight w:val="411"/>
          <w:jc w:val="center"/>
        </w:trPr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3453C4" w:rsidRPr="00BD54F8" w:rsidRDefault="00621922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7650" w:type="dxa"/>
            <w:vMerge w:val="restart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¿Se publican los resultados del seguimiento y la evaluación de los programas presupuestarios descritos en las preguntas anteriores?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Si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No</w:t>
            </w:r>
          </w:p>
        </w:tc>
      </w:tr>
      <w:tr w:rsidR="003453C4" w:rsidRPr="00D2567A" w:rsidTr="001A1BF7">
        <w:trPr>
          <w:trHeight w:val="410"/>
          <w:jc w:val="center"/>
        </w:trPr>
        <w:tc>
          <w:tcPr>
            <w:tcW w:w="850" w:type="dxa"/>
            <w:vMerge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50" w:type="dxa"/>
            <w:vMerge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3453C4" w:rsidRPr="00BD54F8" w:rsidRDefault="003453C4" w:rsidP="003453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453C4" w:rsidRPr="00D2567A" w:rsidTr="003E6F51">
        <w:trPr>
          <w:trHeight w:val="85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073" w:type="dxa"/>
            <w:gridSpan w:val="3"/>
            <w:shd w:val="clear" w:color="auto" w:fill="auto"/>
            <w:vAlign w:val="center"/>
          </w:tcPr>
          <w:p w:rsidR="003453C4" w:rsidRPr="00BD54F8" w:rsidRDefault="003453C4" w:rsidP="003453C4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En caso de respuesta afirmativa indicar el medio en el cual se publican.</w:t>
            </w:r>
          </w:p>
          <w:p w:rsidR="003453C4" w:rsidRPr="00BD54F8" w:rsidRDefault="003453C4" w:rsidP="00345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54F8">
              <w:rPr>
                <w:rFonts w:ascii="Arial" w:eastAsia="Times New Roman" w:hAnsi="Arial" w:cs="Arial"/>
                <w:color w:val="000000"/>
                <w:lang w:eastAsia="es-MX"/>
              </w:rPr>
              <w:t>Comentarios:</w:t>
            </w:r>
          </w:p>
        </w:tc>
      </w:tr>
    </w:tbl>
    <w:p w:rsidR="00702B33" w:rsidRDefault="00702B33" w:rsidP="00702B33">
      <w:pPr>
        <w:spacing w:after="0" w:line="240" w:lineRule="auto"/>
        <w:rPr>
          <w:rFonts w:ascii="Arial" w:hAnsi="Arial" w:cs="Arial"/>
        </w:rPr>
      </w:pPr>
    </w:p>
    <w:p w:rsidR="00DC0D3E" w:rsidRDefault="00F84147" w:rsidP="00F84147">
      <w:pPr>
        <w:spacing w:after="0" w:line="240" w:lineRule="auto"/>
        <w:jc w:val="both"/>
        <w:rPr>
          <w:sz w:val="20"/>
        </w:rPr>
      </w:pPr>
      <w:r w:rsidRPr="00B5288F">
        <w:rPr>
          <w:sz w:val="20"/>
        </w:rPr>
        <w:t xml:space="preserve">La versión editable de este documento </w:t>
      </w:r>
      <w:r>
        <w:rPr>
          <w:sz w:val="20"/>
        </w:rPr>
        <w:t xml:space="preserve">se encuentra </w:t>
      </w:r>
      <w:r w:rsidRPr="00B5288F">
        <w:rPr>
          <w:sz w:val="20"/>
        </w:rPr>
        <w:t xml:space="preserve">disponible en la página de Internet de la Auditoría </w:t>
      </w:r>
      <w:r>
        <w:rPr>
          <w:sz w:val="20"/>
        </w:rPr>
        <w:t>Superior del Estado</w:t>
      </w:r>
      <w:r w:rsidRPr="00B5288F">
        <w:rPr>
          <w:sz w:val="20"/>
        </w:rPr>
        <w:t>.</w:t>
      </w:r>
    </w:p>
    <w:p w:rsidR="00F53E76" w:rsidRDefault="00F53E76" w:rsidP="00F84147">
      <w:pPr>
        <w:spacing w:after="0" w:line="240" w:lineRule="auto"/>
        <w:jc w:val="both"/>
        <w:rPr>
          <w:sz w:val="20"/>
        </w:rPr>
      </w:pPr>
    </w:p>
    <w:p w:rsidR="00F53E76" w:rsidRDefault="00F53E76" w:rsidP="00F84147">
      <w:pPr>
        <w:spacing w:after="0" w:line="240" w:lineRule="auto"/>
        <w:jc w:val="both"/>
        <w:rPr>
          <w:sz w:val="20"/>
        </w:rPr>
      </w:pPr>
    </w:p>
    <w:p w:rsidR="00F53E76" w:rsidRDefault="00F53E76" w:rsidP="00F53E76">
      <w:pPr>
        <w:spacing w:before="120" w:after="0" w:line="240" w:lineRule="auto"/>
        <w:jc w:val="both"/>
        <w:rPr>
          <w:rFonts w:ascii="Arial" w:hAnsi="Arial" w:cs="Arial"/>
        </w:rPr>
      </w:pPr>
    </w:p>
    <w:sectPr w:rsidR="00F53E76" w:rsidSect="00D2567A">
      <w:headerReference w:type="default" r:id="rId8"/>
      <w:footerReference w:type="default" r:id="rId9"/>
      <w:pgSz w:w="12240" w:h="15840"/>
      <w:pgMar w:top="1134" w:right="1134" w:bottom="1134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02" w:rsidRDefault="00CB7702" w:rsidP="00111622">
      <w:pPr>
        <w:spacing w:after="0" w:line="240" w:lineRule="auto"/>
      </w:pPr>
      <w:r>
        <w:separator/>
      </w:r>
    </w:p>
  </w:endnote>
  <w:endnote w:type="continuationSeparator" w:id="0">
    <w:p w:rsidR="00CB7702" w:rsidRDefault="00CB7702" w:rsidP="0011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980741"/>
      <w:docPartObj>
        <w:docPartGallery w:val="Page Numbers (Bottom of Page)"/>
        <w:docPartUnique/>
      </w:docPartObj>
    </w:sdtPr>
    <w:sdtEndPr>
      <w:rPr>
        <w:rFonts w:cstheme="minorHAnsi"/>
        <w:sz w:val="20"/>
        <w:szCs w:val="20"/>
      </w:rPr>
    </w:sdtEndPr>
    <w:sdtContent>
      <w:p w:rsidR="000D5AD0" w:rsidRPr="000D5AD0" w:rsidRDefault="000D5AD0">
        <w:pPr>
          <w:pStyle w:val="Piedepgina"/>
          <w:jc w:val="center"/>
          <w:rPr>
            <w:rFonts w:cstheme="minorHAnsi"/>
            <w:sz w:val="20"/>
            <w:szCs w:val="20"/>
          </w:rPr>
        </w:pPr>
        <w:r w:rsidRPr="000D5AD0">
          <w:rPr>
            <w:rFonts w:cstheme="minorHAnsi"/>
            <w:sz w:val="20"/>
            <w:szCs w:val="20"/>
          </w:rPr>
          <w:fldChar w:fldCharType="begin"/>
        </w:r>
        <w:r w:rsidRPr="000D5AD0">
          <w:rPr>
            <w:rFonts w:cstheme="minorHAnsi"/>
            <w:sz w:val="20"/>
            <w:szCs w:val="20"/>
          </w:rPr>
          <w:instrText>PAGE   \* MERGEFORMAT</w:instrText>
        </w:r>
        <w:r w:rsidRPr="000D5AD0">
          <w:rPr>
            <w:rFonts w:cstheme="minorHAnsi"/>
            <w:sz w:val="20"/>
            <w:szCs w:val="20"/>
          </w:rPr>
          <w:fldChar w:fldCharType="separate"/>
        </w:r>
        <w:r w:rsidR="00D16B5A" w:rsidRPr="00D16B5A">
          <w:rPr>
            <w:rFonts w:cstheme="minorHAnsi"/>
            <w:noProof/>
            <w:sz w:val="20"/>
            <w:szCs w:val="20"/>
            <w:lang w:val="es-ES"/>
          </w:rPr>
          <w:t>3</w:t>
        </w:r>
        <w:r w:rsidRPr="000D5AD0">
          <w:rPr>
            <w:rFonts w:cstheme="minorHAnsi"/>
            <w:sz w:val="20"/>
            <w:szCs w:val="20"/>
          </w:rPr>
          <w:fldChar w:fldCharType="end"/>
        </w:r>
      </w:p>
    </w:sdtContent>
  </w:sdt>
  <w:p w:rsidR="000D5AD0" w:rsidRDefault="000D5A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02" w:rsidRDefault="00CB7702" w:rsidP="00111622">
      <w:pPr>
        <w:spacing w:after="0" w:line="240" w:lineRule="auto"/>
      </w:pPr>
      <w:r>
        <w:separator/>
      </w:r>
    </w:p>
  </w:footnote>
  <w:footnote w:type="continuationSeparator" w:id="0">
    <w:p w:rsidR="00CB7702" w:rsidRDefault="00CB7702" w:rsidP="0011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905"/>
    </w:tblGrid>
    <w:tr w:rsidR="00D2567A" w:rsidRPr="00227EF6" w:rsidTr="00D2567A">
      <w:trPr>
        <w:trHeight w:val="1698"/>
      </w:trPr>
      <w:tc>
        <w:tcPr>
          <w:tcW w:w="1276" w:type="dxa"/>
          <w:shd w:val="clear" w:color="auto" w:fill="auto"/>
          <w:noWrap/>
          <w:vAlign w:val="center"/>
        </w:tcPr>
        <w:p w:rsidR="00D2567A" w:rsidRPr="00227EF6" w:rsidRDefault="00D2567A" w:rsidP="00D2567A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  <w:noProof/>
              <w:lang w:eastAsia="es-MX"/>
            </w:rPr>
            <w:drawing>
              <wp:inline distT="0" distB="0" distL="0" distR="0" wp14:anchorId="31161A7D" wp14:editId="3802F544">
                <wp:extent cx="695325" cy="105589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color vertic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651" cy="10913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5" w:type="dxa"/>
          <w:shd w:val="clear" w:color="auto" w:fill="auto"/>
          <w:noWrap/>
          <w:vAlign w:val="center"/>
        </w:tcPr>
        <w:p w:rsidR="00D2567A" w:rsidRPr="00D2567A" w:rsidRDefault="00D2567A" w:rsidP="00D2567A">
          <w:pPr>
            <w:spacing w:after="0" w:line="240" w:lineRule="auto"/>
            <w:jc w:val="center"/>
            <w:rPr>
              <w:rFonts w:ascii="Arial" w:hAnsi="Arial" w:cs="Arial"/>
              <w:bCs/>
              <w:sz w:val="28"/>
              <w:szCs w:val="28"/>
            </w:rPr>
          </w:pPr>
          <w:r w:rsidRPr="00D2567A">
            <w:rPr>
              <w:rFonts w:ascii="Arial" w:hAnsi="Arial" w:cs="Arial"/>
              <w:bCs/>
              <w:sz w:val="28"/>
              <w:szCs w:val="28"/>
            </w:rPr>
            <w:t>AUDITORÍA SUPERIOR DEL ESTADO DE SAN LUIS POTOSÍ</w:t>
          </w:r>
        </w:p>
        <w:p w:rsidR="00D2567A" w:rsidRPr="00D2567A" w:rsidRDefault="00D2567A" w:rsidP="00D2567A">
          <w:pPr>
            <w:spacing w:after="0" w:line="240" w:lineRule="auto"/>
            <w:jc w:val="center"/>
            <w:rPr>
              <w:b/>
              <w:bCs/>
              <w:sz w:val="26"/>
              <w:szCs w:val="26"/>
            </w:rPr>
          </w:pPr>
          <w:r w:rsidRPr="00D2567A">
            <w:rPr>
              <w:rFonts w:ascii="Arial" w:hAnsi="Arial" w:cs="Arial"/>
              <w:bCs/>
              <w:sz w:val="26"/>
              <w:szCs w:val="26"/>
            </w:rPr>
            <w:t>Auditoría Especial del Desempeño</w:t>
          </w:r>
        </w:p>
      </w:tc>
    </w:tr>
  </w:tbl>
  <w:p w:rsidR="00D2567A" w:rsidRDefault="00D256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314D"/>
    <w:multiLevelType w:val="hybridMultilevel"/>
    <w:tmpl w:val="A0D212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34A0"/>
    <w:multiLevelType w:val="hybridMultilevel"/>
    <w:tmpl w:val="5E0EC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473"/>
    <w:multiLevelType w:val="hybridMultilevel"/>
    <w:tmpl w:val="E3466F46"/>
    <w:lvl w:ilvl="0" w:tplc="6FBE2F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355C4B"/>
    <w:multiLevelType w:val="hybridMultilevel"/>
    <w:tmpl w:val="02802CE0"/>
    <w:lvl w:ilvl="0" w:tplc="28E06A9A">
      <w:numFmt w:val="bullet"/>
      <w:lvlText w:val="•"/>
      <w:lvlJc w:val="left"/>
      <w:pPr>
        <w:ind w:left="720" w:hanging="360"/>
      </w:pPr>
      <w:rPr>
        <w:rFonts w:hint="default"/>
        <w:lang w:val="es-MX" w:eastAsia="es-MX" w:bidi="es-MX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8363D"/>
    <w:multiLevelType w:val="hybridMultilevel"/>
    <w:tmpl w:val="F7D2B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069D0"/>
    <w:multiLevelType w:val="hybridMultilevel"/>
    <w:tmpl w:val="20FA68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E47F6"/>
    <w:multiLevelType w:val="hybridMultilevel"/>
    <w:tmpl w:val="BFB401C8"/>
    <w:lvl w:ilvl="0" w:tplc="28E06A9A">
      <w:numFmt w:val="bullet"/>
      <w:lvlText w:val="•"/>
      <w:lvlJc w:val="left"/>
      <w:pPr>
        <w:ind w:left="720" w:hanging="360"/>
      </w:pPr>
      <w:rPr>
        <w:rFonts w:hint="default"/>
        <w:lang w:val="es-MX" w:eastAsia="es-MX" w:bidi="es-MX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33745"/>
    <w:multiLevelType w:val="hybridMultilevel"/>
    <w:tmpl w:val="390018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43CA4"/>
    <w:multiLevelType w:val="hybridMultilevel"/>
    <w:tmpl w:val="394EB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F6"/>
    <w:rsid w:val="000049E1"/>
    <w:rsid w:val="00024EA5"/>
    <w:rsid w:val="00035A31"/>
    <w:rsid w:val="00042F77"/>
    <w:rsid w:val="00070A08"/>
    <w:rsid w:val="000726F2"/>
    <w:rsid w:val="0008271F"/>
    <w:rsid w:val="00084AF4"/>
    <w:rsid w:val="000C1653"/>
    <w:rsid w:val="000D5AD0"/>
    <w:rsid w:val="000E4DFA"/>
    <w:rsid w:val="000E560E"/>
    <w:rsid w:val="00111622"/>
    <w:rsid w:val="00113A7A"/>
    <w:rsid w:val="00123282"/>
    <w:rsid w:val="0013179A"/>
    <w:rsid w:val="001540DC"/>
    <w:rsid w:val="001641DE"/>
    <w:rsid w:val="001720F2"/>
    <w:rsid w:val="00175695"/>
    <w:rsid w:val="0018605E"/>
    <w:rsid w:val="00197A55"/>
    <w:rsid w:val="001A07F0"/>
    <w:rsid w:val="001A0FB7"/>
    <w:rsid w:val="001A1BF7"/>
    <w:rsid w:val="001A43C8"/>
    <w:rsid w:val="001C3D3A"/>
    <w:rsid w:val="001C6C12"/>
    <w:rsid w:val="001D0C40"/>
    <w:rsid w:val="001F0B03"/>
    <w:rsid w:val="001F661C"/>
    <w:rsid w:val="0020389D"/>
    <w:rsid w:val="0021286B"/>
    <w:rsid w:val="00215735"/>
    <w:rsid w:val="00221053"/>
    <w:rsid w:val="00221B64"/>
    <w:rsid w:val="00224C9E"/>
    <w:rsid w:val="00227EF6"/>
    <w:rsid w:val="00237A66"/>
    <w:rsid w:val="00240E79"/>
    <w:rsid w:val="0024155E"/>
    <w:rsid w:val="0026209A"/>
    <w:rsid w:val="00263348"/>
    <w:rsid w:val="0027538D"/>
    <w:rsid w:val="00282B3C"/>
    <w:rsid w:val="00283436"/>
    <w:rsid w:val="00286A8D"/>
    <w:rsid w:val="00293248"/>
    <w:rsid w:val="002A3139"/>
    <w:rsid w:val="002A5BD1"/>
    <w:rsid w:val="002B46B1"/>
    <w:rsid w:val="002C1B07"/>
    <w:rsid w:val="002C75C8"/>
    <w:rsid w:val="002D4700"/>
    <w:rsid w:val="002F563F"/>
    <w:rsid w:val="00303A62"/>
    <w:rsid w:val="00304DC0"/>
    <w:rsid w:val="003264D8"/>
    <w:rsid w:val="00337649"/>
    <w:rsid w:val="003453C4"/>
    <w:rsid w:val="00355653"/>
    <w:rsid w:val="00380A43"/>
    <w:rsid w:val="003A4228"/>
    <w:rsid w:val="003E6F51"/>
    <w:rsid w:val="004016FA"/>
    <w:rsid w:val="00406699"/>
    <w:rsid w:val="00417E9F"/>
    <w:rsid w:val="00430F29"/>
    <w:rsid w:val="0043421E"/>
    <w:rsid w:val="004342F5"/>
    <w:rsid w:val="0043481D"/>
    <w:rsid w:val="004361B3"/>
    <w:rsid w:val="0043620E"/>
    <w:rsid w:val="0043652B"/>
    <w:rsid w:val="00437B70"/>
    <w:rsid w:val="00444A54"/>
    <w:rsid w:val="00444E16"/>
    <w:rsid w:val="00465BE5"/>
    <w:rsid w:val="00472469"/>
    <w:rsid w:val="0047638E"/>
    <w:rsid w:val="00480A00"/>
    <w:rsid w:val="00480AAB"/>
    <w:rsid w:val="0048616B"/>
    <w:rsid w:val="0049637C"/>
    <w:rsid w:val="004A6CF9"/>
    <w:rsid w:val="004C23C2"/>
    <w:rsid w:val="004D15D3"/>
    <w:rsid w:val="004D53E0"/>
    <w:rsid w:val="004D54D9"/>
    <w:rsid w:val="004F1B64"/>
    <w:rsid w:val="00511A0E"/>
    <w:rsid w:val="005136EA"/>
    <w:rsid w:val="005169BF"/>
    <w:rsid w:val="0054744D"/>
    <w:rsid w:val="00585191"/>
    <w:rsid w:val="00585643"/>
    <w:rsid w:val="005926BC"/>
    <w:rsid w:val="00594257"/>
    <w:rsid w:val="00596CD4"/>
    <w:rsid w:val="005A5645"/>
    <w:rsid w:val="005D04FE"/>
    <w:rsid w:val="005E0785"/>
    <w:rsid w:val="005E7717"/>
    <w:rsid w:val="005F3408"/>
    <w:rsid w:val="00617738"/>
    <w:rsid w:val="00617CE6"/>
    <w:rsid w:val="00621922"/>
    <w:rsid w:val="00623CA1"/>
    <w:rsid w:val="0062574A"/>
    <w:rsid w:val="006269C9"/>
    <w:rsid w:val="00626D25"/>
    <w:rsid w:val="00634C9E"/>
    <w:rsid w:val="00663FAF"/>
    <w:rsid w:val="00666F7B"/>
    <w:rsid w:val="00693CD8"/>
    <w:rsid w:val="006973B5"/>
    <w:rsid w:val="006A2F37"/>
    <w:rsid w:val="006A5D2E"/>
    <w:rsid w:val="006B1F03"/>
    <w:rsid w:val="006B1FCA"/>
    <w:rsid w:val="006C310A"/>
    <w:rsid w:val="006D327B"/>
    <w:rsid w:val="006E2DA3"/>
    <w:rsid w:val="006E7141"/>
    <w:rsid w:val="006F57C0"/>
    <w:rsid w:val="00702B33"/>
    <w:rsid w:val="00710600"/>
    <w:rsid w:val="00724242"/>
    <w:rsid w:val="00730151"/>
    <w:rsid w:val="00734B35"/>
    <w:rsid w:val="00735811"/>
    <w:rsid w:val="00752D34"/>
    <w:rsid w:val="0076644E"/>
    <w:rsid w:val="00775BF9"/>
    <w:rsid w:val="00791366"/>
    <w:rsid w:val="007914C4"/>
    <w:rsid w:val="00794910"/>
    <w:rsid w:val="007A4D70"/>
    <w:rsid w:val="007B0017"/>
    <w:rsid w:val="007B3356"/>
    <w:rsid w:val="007B5850"/>
    <w:rsid w:val="007D075F"/>
    <w:rsid w:val="007D1C30"/>
    <w:rsid w:val="007F6B3C"/>
    <w:rsid w:val="00805027"/>
    <w:rsid w:val="00811275"/>
    <w:rsid w:val="00820A23"/>
    <w:rsid w:val="00834E1E"/>
    <w:rsid w:val="00841DBD"/>
    <w:rsid w:val="00843233"/>
    <w:rsid w:val="008435DF"/>
    <w:rsid w:val="00844A18"/>
    <w:rsid w:val="0084561A"/>
    <w:rsid w:val="008635DA"/>
    <w:rsid w:val="00863E9F"/>
    <w:rsid w:val="00870400"/>
    <w:rsid w:val="00872115"/>
    <w:rsid w:val="008735C1"/>
    <w:rsid w:val="00875EAE"/>
    <w:rsid w:val="00882344"/>
    <w:rsid w:val="00885AF2"/>
    <w:rsid w:val="0089752B"/>
    <w:rsid w:val="008B27EA"/>
    <w:rsid w:val="008C3524"/>
    <w:rsid w:val="008D59B5"/>
    <w:rsid w:val="008E4927"/>
    <w:rsid w:val="008F16FC"/>
    <w:rsid w:val="008F70F0"/>
    <w:rsid w:val="00901805"/>
    <w:rsid w:val="009075E2"/>
    <w:rsid w:val="0092151E"/>
    <w:rsid w:val="009302C4"/>
    <w:rsid w:val="00941246"/>
    <w:rsid w:val="00943112"/>
    <w:rsid w:val="00943603"/>
    <w:rsid w:val="0096273A"/>
    <w:rsid w:val="009772E7"/>
    <w:rsid w:val="00985221"/>
    <w:rsid w:val="009A55BD"/>
    <w:rsid w:val="009C7DAE"/>
    <w:rsid w:val="009D6EBD"/>
    <w:rsid w:val="009E72D1"/>
    <w:rsid w:val="00A06DAF"/>
    <w:rsid w:val="00A17BF3"/>
    <w:rsid w:val="00A419C8"/>
    <w:rsid w:val="00A42F09"/>
    <w:rsid w:val="00A570EF"/>
    <w:rsid w:val="00A76BDC"/>
    <w:rsid w:val="00A82DDD"/>
    <w:rsid w:val="00A95478"/>
    <w:rsid w:val="00A960DA"/>
    <w:rsid w:val="00AA583B"/>
    <w:rsid w:val="00AA7A07"/>
    <w:rsid w:val="00AB02D2"/>
    <w:rsid w:val="00B03B3A"/>
    <w:rsid w:val="00B1267C"/>
    <w:rsid w:val="00B12F83"/>
    <w:rsid w:val="00B33C84"/>
    <w:rsid w:val="00B37CFB"/>
    <w:rsid w:val="00B4071B"/>
    <w:rsid w:val="00B76682"/>
    <w:rsid w:val="00B7782B"/>
    <w:rsid w:val="00BB406F"/>
    <w:rsid w:val="00BC00C0"/>
    <w:rsid w:val="00BC1C01"/>
    <w:rsid w:val="00BD54F8"/>
    <w:rsid w:val="00BD7CC6"/>
    <w:rsid w:val="00C02C89"/>
    <w:rsid w:val="00C02C8B"/>
    <w:rsid w:val="00C12AB4"/>
    <w:rsid w:val="00C23EB5"/>
    <w:rsid w:val="00C240A5"/>
    <w:rsid w:val="00C4450A"/>
    <w:rsid w:val="00C4760B"/>
    <w:rsid w:val="00C71F07"/>
    <w:rsid w:val="00C846C1"/>
    <w:rsid w:val="00C858EC"/>
    <w:rsid w:val="00C97CAD"/>
    <w:rsid w:val="00CB7702"/>
    <w:rsid w:val="00CD3894"/>
    <w:rsid w:val="00CE19F1"/>
    <w:rsid w:val="00CE64D5"/>
    <w:rsid w:val="00D005A1"/>
    <w:rsid w:val="00D16B5A"/>
    <w:rsid w:val="00D2567A"/>
    <w:rsid w:val="00D36836"/>
    <w:rsid w:val="00D37340"/>
    <w:rsid w:val="00D427DD"/>
    <w:rsid w:val="00D452EB"/>
    <w:rsid w:val="00D45750"/>
    <w:rsid w:val="00D46508"/>
    <w:rsid w:val="00D82D73"/>
    <w:rsid w:val="00DC0D3E"/>
    <w:rsid w:val="00DC1F77"/>
    <w:rsid w:val="00DD04CD"/>
    <w:rsid w:val="00DD6779"/>
    <w:rsid w:val="00DE4C27"/>
    <w:rsid w:val="00DE5B49"/>
    <w:rsid w:val="00DE604A"/>
    <w:rsid w:val="00DF243A"/>
    <w:rsid w:val="00DF4A78"/>
    <w:rsid w:val="00E02451"/>
    <w:rsid w:val="00E10B5C"/>
    <w:rsid w:val="00E21942"/>
    <w:rsid w:val="00E271F0"/>
    <w:rsid w:val="00E3740F"/>
    <w:rsid w:val="00E525D4"/>
    <w:rsid w:val="00E61CFE"/>
    <w:rsid w:val="00E82F5B"/>
    <w:rsid w:val="00E87A06"/>
    <w:rsid w:val="00EB4065"/>
    <w:rsid w:val="00EC1BD8"/>
    <w:rsid w:val="00EF0C3F"/>
    <w:rsid w:val="00EF3D93"/>
    <w:rsid w:val="00EF6DAD"/>
    <w:rsid w:val="00F01F3A"/>
    <w:rsid w:val="00F0686F"/>
    <w:rsid w:val="00F14D0D"/>
    <w:rsid w:val="00F2064C"/>
    <w:rsid w:val="00F324E6"/>
    <w:rsid w:val="00F41279"/>
    <w:rsid w:val="00F4515D"/>
    <w:rsid w:val="00F4538A"/>
    <w:rsid w:val="00F53E76"/>
    <w:rsid w:val="00F84147"/>
    <w:rsid w:val="00F8687E"/>
    <w:rsid w:val="00F87C13"/>
    <w:rsid w:val="00F9053F"/>
    <w:rsid w:val="00F92BFF"/>
    <w:rsid w:val="00F93FBB"/>
    <w:rsid w:val="00FA1DC8"/>
    <w:rsid w:val="00FA4772"/>
    <w:rsid w:val="00FC10A8"/>
    <w:rsid w:val="00FC22EE"/>
    <w:rsid w:val="00FC329E"/>
    <w:rsid w:val="00FD1ACF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CC13309-00F7-4051-BE99-F380938D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622"/>
  </w:style>
  <w:style w:type="paragraph" w:styleId="Piedepgina">
    <w:name w:val="footer"/>
    <w:basedOn w:val="Normal"/>
    <w:link w:val="PiedepginaCar"/>
    <w:uiPriority w:val="99"/>
    <w:unhideWhenUsed/>
    <w:rsid w:val="00111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622"/>
  </w:style>
  <w:style w:type="table" w:styleId="Tablaconcuadrcula">
    <w:name w:val="Table Grid"/>
    <w:basedOn w:val="Tablanormal"/>
    <w:uiPriority w:val="39"/>
    <w:rsid w:val="00111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DF4A7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720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20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20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20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20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9F5F7-1A0D-4EE9-A250-77938098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IDeLosSantos</dc:creator>
  <cp:keywords/>
  <dc:description/>
  <cp:lastModifiedBy>Edith Virginia Muñoz Gutierrez</cp:lastModifiedBy>
  <cp:revision>3</cp:revision>
  <cp:lastPrinted>2020-01-17T20:19:00Z</cp:lastPrinted>
  <dcterms:created xsi:type="dcterms:W3CDTF">2020-02-21T20:00:00Z</dcterms:created>
  <dcterms:modified xsi:type="dcterms:W3CDTF">2020-02-21T20:07:00Z</dcterms:modified>
</cp:coreProperties>
</file>